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5161" w:leader="none"/>
        </w:tabs>
        <w:spacing w:before="0" w:after="0" w:line="317"/>
        <w:ind w:right="480" w:left="300" w:hanging="28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5"/>
          <w:u w:val="single"/>
          <w:shd w:fill="auto" w:val="clear"/>
        </w:rPr>
      </w:pPr>
    </w:p>
    <w:p>
      <w:pPr>
        <w:tabs>
          <w:tab w:val="left" w:pos="5161" w:leader="none"/>
        </w:tabs>
        <w:spacing w:before="0" w:after="0" w:line="317"/>
        <w:ind w:right="480" w:left="300" w:hanging="280"/>
        <w:jc w:val="left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5"/>
          <w:u w:val="single"/>
          <w:shd w:fill="auto" w:val="clear"/>
        </w:rPr>
      </w:pPr>
    </w:p>
    <w:p>
      <w:pPr>
        <w:tabs>
          <w:tab w:val="left" w:pos="5161" w:leader="none"/>
        </w:tabs>
        <w:spacing w:before="0" w:after="0" w:line="317"/>
        <w:ind w:right="480" w:left="300" w:hanging="280"/>
        <w:jc w:val="center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5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5"/>
          <w:u w:val="single"/>
          <w:shd w:fill="auto" w:val="clear"/>
        </w:rPr>
        <w:t xml:space="preserve">Информация </w:t>
      </w:r>
    </w:p>
    <w:p>
      <w:pPr>
        <w:tabs>
          <w:tab w:val="left" w:pos="5161" w:leader="none"/>
        </w:tabs>
        <w:spacing w:before="0" w:after="0" w:line="317"/>
        <w:ind w:right="480" w:left="300" w:hanging="280"/>
        <w:jc w:val="center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5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5"/>
          <w:u w:val="single"/>
          <w:shd w:fill="auto" w:val="clear"/>
        </w:rPr>
        <w:t xml:space="preserve">для собственников, владельцев помещений, находящихся в государственной или муниципальной собственности</w:t>
      </w:r>
    </w:p>
    <w:p>
      <w:pPr>
        <w:tabs>
          <w:tab w:val="left" w:pos="5161" w:leader="none"/>
        </w:tabs>
        <w:spacing w:before="0" w:after="0" w:line="317"/>
        <w:ind w:right="480" w:left="300" w:hanging="28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5"/>
          <w:u w:val="single"/>
          <w:shd w:fill="auto" w:val="clear"/>
        </w:rPr>
      </w:pPr>
    </w:p>
    <w:p>
      <w:pPr>
        <w:spacing w:before="0" w:after="307" w:line="250"/>
        <w:ind w:right="0" w:left="300" w:hanging="280"/>
        <w:jc w:val="left"/>
        <w:rPr>
          <w:rFonts w:ascii="Times New Roman" w:hAnsi="Times New Roman" w:cs="Times New Roman" w:eastAsia="Times New Roman"/>
          <w:color w:val="000000"/>
          <w:spacing w:val="-3"/>
          <w:position w:val="0"/>
          <w:sz w:val="25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5"/>
          <w:u w:val="single"/>
          <w:shd w:fill="auto" w:val="clear"/>
        </w:rPr>
        <w:t xml:space="preserve">Об уведомлении комиссии</w:t>
      </w:r>
    </w:p>
    <w:p>
      <w:pPr>
        <w:spacing w:before="0" w:after="0" w:line="307"/>
        <w:ind w:right="20" w:left="20" w:firstLine="6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5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5"/>
          <w:u w:val="single"/>
          <w:shd w:fill="auto" w:val="clear"/>
        </w:rPr>
        <w:t xml:space="preserve">В соответствии с п.4 ст.53 Федерального закона от 12.06.2002 № 67-ФЗ "Об основных гарантиях избирательных прав и права на участие в референдуме граждан Российской Федерации" собственники, владельцы помещений, находящихся в государственной или муниципальной собственности, а также в собственности организаций, имеющих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30 процентов (далее – собственники, владельцы помещений)  обязаны| уведомить в письменной форме о факте предоставления помещения зарегистрированному кандидату, об условиях, на которых оно может быть предоставлено, а также о том, когда это помещение может быть предоставлено в течение агитационного периода другим зарегистрированным кандидатам.</w:t>
      </w:r>
    </w:p>
    <w:p>
      <w:pPr>
        <w:spacing w:before="0" w:after="180" w:line="307"/>
        <w:ind w:right="20" w:left="20" w:firstLine="66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5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5"/>
          <w:u w:val="single"/>
          <w:shd w:fill="FFFFFF" w:val="clear"/>
        </w:rPr>
        <w:t xml:space="preserve">Просим собственников, владельцев помещений, расположенных на территории Пошехонского района Ярославской области не позднее дня, следующего за днем предоставления помещения, направлять уведомления в письменной форме о факте предоставления помещения зарегистрированному кандидату, об условиях, на которых оно может быть предоставлено, а также о том, когда это помещение может быть предоставлено в течение агитационного периода другим зарегистрированным кандидатам непосредственно в  территориальную избирательную комиссию Пошехонского района по адресу: пл.Свободы, д.9, г.Пошехонье, Ярославская область, 152850. Тел. 2-12-78,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